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ANEXO II – MODELO R -  CARIMBO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  <w:t xml:space="preserve">ÓRGÃO REPASSADOR: SECRETARIA MUNICIPAL DE ESPORTES E LAZER</w:t>
      </w:r>
    </w:p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  <w:t xml:space="preserve">FONTE DE RECURSOS: MUNICIPAL</w:t>
      </w:r>
    </w:p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  <w:t xml:space="preserve">TERMO DE COLABORAÇÃO: XX/2020</w:t>
      </w:r>
    </w:p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48"/>
          <w:shd w:fill="auto" w:val="clear"/>
        </w:rPr>
        <w:t xml:space="preserve">PROJETO CAPOEIRA E MOVIMENTO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